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F229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四川省运动处方健康管理服务平台</w:t>
      </w:r>
    </w:p>
    <w:p w14:paraId="1F569D9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sz w:val="44"/>
          <w:szCs w:val="44"/>
          <w:lang w:eastAsia="zh-CN"/>
        </w:rPr>
        <w:t>采购项目</w:t>
      </w:r>
    </w:p>
    <w:p w14:paraId="7BEDB2E7">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采购预算：</w:t>
      </w:r>
      <w:r>
        <w:rPr>
          <w:rFonts w:hint="eastAsia" w:ascii="仿宋_GB2312" w:hAnsi="仿宋_GB2312" w:eastAsia="仿宋_GB2312" w:cs="仿宋_GB2312"/>
          <w:sz w:val="32"/>
          <w:szCs w:val="32"/>
          <w:lang w:val="en-US" w:eastAsia="zh-CN"/>
        </w:rPr>
        <w:t>99.13万</w:t>
      </w:r>
      <w:r>
        <w:rPr>
          <w:rFonts w:hint="eastAsia" w:ascii="仿宋_GB2312" w:hAnsi="仿宋_GB2312" w:eastAsia="仿宋_GB2312" w:cs="仿宋_GB2312"/>
          <w:sz w:val="32"/>
          <w:szCs w:val="32"/>
        </w:rPr>
        <w:t>元。</w:t>
      </w:r>
    </w:p>
    <w:p w14:paraId="6C4FBA80">
      <w:pPr>
        <w:pStyle w:val="4"/>
        <w:bidi w:val="0"/>
        <w:rPr>
          <w:rFonts w:hint="eastAsia"/>
          <w:highlight w:val="none"/>
          <w:lang w:val="en-US" w:eastAsia="zh-CN"/>
        </w:rPr>
      </w:pPr>
      <w:r>
        <w:rPr>
          <w:rFonts w:hint="eastAsia"/>
          <w:highlight w:val="none"/>
          <w:lang w:val="en-US" w:eastAsia="zh-CN"/>
        </w:rPr>
        <w:t>服务内容及服务要求</w:t>
      </w:r>
    </w:p>
    <w:p w14:paraId="6302057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一、要求与约束</w:t>
      </w:r>
    </w:p>
    <w:p w14:paraId="08A3B18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1、总体架构：</w:t>
      </w:r>
      <w:r>
        <w:rPr>
          <w:rFonts w:hint="eastAsia" w:ascii="宋体" w:hAnsi="宋体" w:eastAsia="宋体" w:cs="宋体"/>
          <w:sz w:val="24"/>
          <w:szCs w:val="24"/>
        </w:rPr>
        <w:t>四川省运动处方健康管理服务平台总体架构采用分层设计，涵盖基础设施层、数据层、核心服务层、应用层和用户层，以</w:t>
      </w:r>
      <w:r>
        <w:rPr>
          <w:rFonts w:hint="eastAsia" w:ascii="宋体" w:hAnsi="宋体" w:eastAsia="宋体" w:cs="宋体"/>
          <w:sz w:val="24"/>
          <w:szCs w:val="24"/>
          <w:lang w:val="en-US" w:eastAsia="zh-CN"/>
        </w:rPr>
        <w:t>JAVA生态成熟的技术架构体系</w:t>
      </w:r>
      <w:r>
        <w:rPr>
          <w:rFonts w:hint="eastAsia" w:ascii="宋体" w:hAnsi="宋体" w:eastAsia="宋体" w:cs="宋体"/>
          <w:sz w:val="24"/>
          <w:szCs w:val="24"/>
        </w:rPr>
        <w:t>为基础，实现多终端接入、多角色协同、全流程管理的智能化</w:t>
      </w:r>
      <w:r>
        <w:rPr>
          <w:rFonts w:hint="eastAsia" w:ascii="宋体" w:hAnsi="宋体" w:eastAsia="宋体" w:cs="宋体"/>
          <w:sz w:val="24"/>
          <w:szCs w:val="24"/>
          <w:lang w:val="en-US" w:eastAsia="zh-CN"/>
        </w:rPr>
        <w:t>运动</w:t>
      </w:r>
      <w:r>
        <w:rPr>
          <w:rFonts w:hint="eastAsia" w:ascii="宋体" w:hAnsi="宋体" w:eastAsia="宋体" w:cs="宋体"/>
          <w:sz w:val="24"/>
          <w:szCs w:val="24"/>
        </w:rPr>
        <w:t>健康服务闭环，确保系统具备高可用、高并发、弹性扩展及安全合规的能力。</w:t>
      </w:r>
    </w:p>
    <w:p w14:paraId="0EFB1C68">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2、业务架构：</w:t>
      </w:r>
      <w:r>
        <w:rPr>
          <w:rFonts w:hint="eastAsia" w:ascii="宋体" w:hAnsi="宋体" w:eastAsia="宋体" w:cs="宋体"/>
          <w:sz w:val="24"/>
          <w:szCs w:val="24"/>
        </w:rPr>
        <w:t>平台业务架构</w:t>
      </w:r>
      <w:r>
        <w:rPr>
          <w:rFonts w:hint="eastAsia" w:ascii="宋体" w:hAnsi="宋体" w:eastAsia="宋体" w:cs="宋体"/>
          <w:sz w:val="24"/>
          <w:szCs w:val="24"/>
          <w:lang w:val="en-US" w:eastAsia="zh-CN"/>
        </w:rPr>
        <w:t>需</w:t>
      </w:r>
      <w:r>
        <w:rPr>
          <w:rFonts w:hint="eastAsia" w:ascii="宋体" w:hAnsi="宋体" w:eastAsia="宋体" w:cs="宋体"/>
          <w:sz w:val="24"/>
          <w:szCs w:val="24"/>
        </w:rPr>
        <w:t>遵循“测、评、处、执、馈”五大核心环节闭环流程，即通过多源数据采集进行健康监测，经评估生成健康画像，据此智能匹配个性化运动膳食处方，用户在指导支持下执行计划，并通过周期复评反馈效果以实现方案的动态优化与健康管理的持续循环。</w:t>
      </w:r>
    </w:p>
    <w:p w14:paraId="00DAD7D5">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3、技术架构：</w:t>
      </w:r>
      <w:r>
        <w:rPr>
          <w:rFonts w:hint="eastAsia" w:ascii="宋体" w:hAnsi="宋体" w:eastAsia="宋体" w:cs="宋体"/>
          <w:sz w:val="24"/>
          <w:szCs w:val="24"/>
        </w:rPr>
        <w:t>本系统技术架构设计需遵循高性能、高安全、高可用及可扩展性原则，采用前后端分离模式。后端基于SpringBoot框架构建，集成JWT实现无状态认证授权，采用MySQL作为核心业务数据库并优化索引与事务设计，引入Redis缓存热点数据以提升并发性能；前端基于Vue3.0框架开发，通过Pinia管理全局状态，Vue Router实现路由懒加载，并依托Vite构建工具优化开发与打包效率。部署层面通过Nginx实现反向代理与静态资源服务，支持负载均衡与集群部署。</w:t>
      </w:r>
    </w:p>
    <w:p w14:paraId="7C926329">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4、安全要求：</w:t>
      </w:r>
      <w:r>
        <w:rPr>
          <w:rFonts w:hint="eastAsia" w:ascii="宋体" w:hAnsi="宋体" w:eastAsia="宋体" w:cs="宋体"/>
          <w:sz w:val="24"/>
          <w:szCs w:val="24"/>
        </w:rPr>
        <w:t>系统需严格遵循国家网络安全等级保护三级要求，构建覆盖数据全生命周期、网络、主机及应用的多层次安全防护体系。具体要求包括：核心业务数据与个人信息必须进行加密存储、传输及脱敏处理，确保数据安全与隐私合规。</w:t>
      </w:r>
    </w:p>
    <w:p w14:paraId="7F8F9559">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5、性能要求：</w:t>
      </w:r>
      <w:r>
        <w:rPr>
          <w:rFonts w:hint="eastAsia" w:ascii="宋体" w:hAnsi="宋体" w:eastAsia="宋体" w:cs="宋体"/>
          <w:sz w:val="24"/>
          <w:szCs w:val="24"/>
        </w:rPr>
        <w:t>本系统性能设计需满足高并发、大数据量及快速响应的业务需求，具体包括：平台应支持至少</w:t>
      </w:r>
      <w:r>
        <w:rPr>
          <w:rFonts w:hint="eastAsia" w:ascii="宋体" w:hAnsi="宋体" w:eastAsia="宋体" w:cs="宋体"/>
          <w:sz w:val="24"/>
          <w:szCs w:val="24"/>
          <w:lang w:val="en-US" w:eastAsia="zh-CN"/>
        </w:rPr>
        <w:t>一</w:t>
      </w:r>
      <w:r>
        <w:rPr>
          <w:rFonts w:hint="eastAsia" w:ascii="宋体" w:hAnsi="宋体" w:eastAsia="宋体" w:cs="宋体"/>
          <w:sz w:val="24"/>
          <w:szCs w:val="24"/>
        </w:rPr>
        <w:t>万用户同时在线的高并发访问，核心业务接口响应时间不超过</w:t>
      </w:r>
      <w:r>
        <w:rPr>
          <w:rFonts w:hint="eastAsia" w:ascii="宋体" w:hAnsi="宋体" w:eastAsia="宋体" w:cs="宋体"/>
          <w:sz w:val="24"/>
          <w:szCs w:val="24"/>
          <w:lang w:val="en-US" w:eastAsia="zh-CN"/>
        </w:rPr>
        <w:t>3</w:t>
      </w:r>
      <w:r>
        <w:rPr>
          <w:rFonts w:hint="eastAsia" w:ascii="宋体" w:hAnsi="宋体" w:eastAsia="宋体" w:cs="宋体"/>
          <w:sz w:val="24"/>
          <w:szCs w:val="24"/>
        </w:rPr>
        <w:t>秒；数据处理能力需支持每日</w:t>
      </w:r>
      <w:r>
        <w:rPr>
          <w:rFonts w:hint="eastAsia" w:ascii="宋体" w:hAnsi="宋体" w:eastAsia="宋体" w:cs="宋体"/>
          <w:sz w:val="24"/>
          <w:szCs w:val="24"/>
          <w:lang w:val="en-US" w:eastAsia="zh-CN"/>
        </w:rPr>
        <w:t>十</w:t>
      </w:r>
      <w:r>
        <w:rPr>
          <w:rFonts w:hint="eastAsia" w:ascii="宋体" w:hAnsi="宋体" w:eastAsia="宋体" w:cs="宋体"/>
          <w:sz w:val="24"/>
          <w:szCs w:val="24"/>
        </w:rPr>
        <w:t>万级健康数据记录的存储、分析与实时计算；此外，系统需具备良好的扩展性，通过负载均衡与微服务架构实现水平扩展，并保证全年99.9%以上的可用性，确保在大规模用户使用及数据增长环境下依然稳定、高效运行</w:t>
      </w:r>
      <w:r>
        <w:rPr>
          <w:rFonts w:hint="eastAsia" w:ascii="宋体" w:hAnsi="宋体" w:eastAsia="宋体" w:cs="宋体"/>
          <w:sz w:val="24"/>
          <w:szCs w:val="24"/>
          <w:lang w:eastAsia="zh-CN"/>
        </w:rPr>
        <w:t>。</w:t>
      </w:r>
    </w:p>
    <w:p w14:paraId="67AF5095">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PC端管理系统功能</w:t>
      </w:r>
    </w:p>
    <w:p w14:paraId="6D8F31E2">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运动健康中心可视化界面</w:t>
      </w:r>
    </w:p>
    <w:p w14:paraId="64729518">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支持实时展示监测总人数、今日活跃数、报警人数、注册人数等核心指标；</w:t>
      </w:r>
    </w:p>
    <w:p w14:paraId="3589E3E1">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支持统计饮食、运动、睡眠等行为数据；</w:t>
      </w:r>
    </w:p>
    <w:p w14:paraId="62A9309E">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支持智能穿戴设备数据实时刷新；</w:t>
      </w:r>
    </w:p>
    <w:p w14:paraId="555CB69E">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支持按健康类型、性别、年龄等多维度分类统计与展示。</w:t>
      </w:r>
    </w:p>
    <w:p w14:paraId="7470D550">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管理工作台</w:t>
      </w:r>
    </w:p>
    <w:p w14:paraId="48645B0D">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支持IM即时在线交流；</w:t>
      </w:r>
      <w:bookmarkStart w:id="0" w:name="_GoBack"/>
      <w:bookmarkEnd w:id="0"/>
    </w:p>
    <w:p w14:paraId="384027D1">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支持患者健康档案基本信息查看；</w:t>
      </w:r>
    </w:p>
    <w:p w14:paraId="3C6C9280">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支持患者实时监测数据查看，报警信息处理；</w:t>
      </w:r>
    </w:p>
    <w:p w14:paraId="6743741E">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支持患者饮食、运动打卡评价；</w:t>
      </w:r>
    </w:p>
    <w:p w14:paraId="7D6339AB">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支持患者随访计划查看。</w:t>
      </w:r>
    </w:p>
    <w:p w14:paraId="434BB8D4">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用户档案管理</w:t>
      </w:r>
    </w:p>
    <w:p w14:paraId="14D6637B">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机构档案：支撑机构名称、机构编码，机构二维码等基本信息管理；</w:t>
      </w:r>
    </w:p>
    <w:p w14:paraId="3DF0170D">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五师档案管理：支持医生、健康管理师、营养师、运动处方师、康复训练师等健康管理人员基本信息管理；</w:t>
      </w:r>
    </w:p>
    <w:p w14:paraId="087E3DE5">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用户档案：支持用户健康档案信息管理。</w:t>
      </w:r>
    </w:p>
    <w:p w14:paraId="43DDAF86">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健康管理系统</w:t>
      </w:r>
    </w:p>
    <w:p w14:paraId="4EDDFCF1">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风险测评：支持模块化、多维度的健康风险评估服务，涵盖肥胖及相关代谢性疾病健康风险评估、心理及睡眠质量等风险评估。通过标准化量表与专项测评，为用户生成个性化健康报告，辅助健康管理决策。支持自定义出题；支持设置题目评分分值</w:t>
      </w:r>
    </w:p>
    <w:p w14:paraId="0D6C79CF">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健康方案制定：支持健康管理个性化方案制定，支持自定义方案封面模板；</w:t>
      </w:r>
    </w:p>
    <w:p w14:paraId="3B07E9E1">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饮食打卡：支持记录用户饮食打卡详情，包含摄入食品名称、摄入时间、摄入热量、蛋白质、脂肪、碳水以及相关营养元素详情等。支持饮食打卡评价功能，支持每日摄入热量曲线图标显示；</w:t>
      </w:r>
    </w:p>
    <w:p w14:paraId="2752EA54">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运动打卡：支持记录用户运动打卡详情，包含运动项目名称、运动时间、运动类型、运动时长的详情信息。支持运动打卡评价功能，支持每日运动热量消耗曲线图标显示；</w:t>
      </w:r>
    </w:p>
    <w:p w14:paraId="1D567DAA">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健康报告：支持人体成分分析报告；支持健康体验一体机检测报告查看；</w:t>
      </w:r>
    </w:p>
    <w:p w14:paraId="38258F51">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检查报告：支持查看用户上次的pdf或则图片格式检验检测报告，包含不限于体检报告、睡眠筛查报告、肥胖生化检测报告、基因检测报告；</w:t>
      </w:r>
    </w:p>
    <w:p w14:paraId="4F048F4B">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用户行为：支持收集用移动端反馈的意见信息；查询用户紧急联系人信息；支持用户健康管理前后体型体态照片查看；用户收藏栏信息查询；用户家庭成员信息查看。</w:t>
      </w:r>
    </w:p>
    <w:p w14:paraId="71343B73">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用户服务包管理</w:t>
      </w:r>
    </w:p>
    <w:p w14:paraId="13BCE2F1">
      <w:pPr>
        <w:keepNext w:val="0"/>
        <w:keepLines w:val="0"/>
        <w:pageBreakBefore w:val="0"/>
        <w:widowControl w:val="0"/>
        <w:numPr>
          <w:ilvl w:val="0"/>
          <w:numId w:val="7"/>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用户服务包管理：支持记录用户服务包信息，涵盖服务包名称、价格、数量等信息，标记购买时间、服务包起止时间，还可显示过期状态。</w:t>
      </w:r>
    </w:p>
    <w:p w14:paraId="3DA8D75F">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随访管理</w:t>
      </w:r>
    </w:p>
    <w:p w14:paraId="08934087">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随访话术库：支持对睡眠、运动、体重等类别随访内容进行新增、修改、删除操作，可录入对应健康引导话术库，为健康随访工作提供标准化、分类化的话术资源；</w:t>
      </w:r>
    </w:p>
    <w:p w14:paraId="385F46D7">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随访模板：支持新增、修改、删除操作，可设置随访名称、类型、开始与结束时间、任务数、间隔时间及推送时间，为运动计划执行、健康随访计划等提供标准化配置随访任务模板；</w:t>
      </w:r>
    </w:p>
    <w:p w14:paraId="6BB6C89C">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随访问卷：支持新增问卷，可管理日常健康等类型问卷，呈现排序、标题、状态、更新时间，提供答题 / 分析结果模板上传、封面管理，支持数据收集分析，及出题、评分、删除等操作；</w:t>
      </w:r>
    </w:p>
    <w:p w14:paraId="36472F8F">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计划：支持随访计划创建、管理随访计划，涵盖关联机构、随访名称、类型、状态、起止时间、任务数及人员等设置，支持规划多次随访任务，自定义执行时间、有效时长、推送内容与方式，并跟踪计划进度状态（未开始、进行中、已结束 ）；</w:t>
      </w:r>
    </w:p>
    <w:p w14:paraId="614354B8">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用户随访计划：支持对具体用户关联随访计划，展示用户分组、任务名称、计划起止与执行时间、状态、推送内容，支持按计划名称、日期、状态检索，对任务进行删除操作。</w:t>
      </w:r>
    </w:p>
    <w:p w14:paraId="7E36A1D0">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运动处方</w:t>
      </w:r>
    </w:p>
    <w:p w14:paraId="737CF723">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项目：运动项目模块可对各类运动项目进行管理，记录能耗（MET）、运动类型、器械要求、难度、适宜人群、禁忌人群、注意事项，支持新增、修改、删除操作，为用户运动处方开具，提供标准化运动项目信息及筛选依据 ；</w:t>
      </w:r>
    </w:p>
    <w:p w14:paraId="5CE07822">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运动方案：支持创建、管理不同人群的运动方案，记录方案名称与详细内容（含动作要领、强度、适配人群及注意事项 ），支持新增、修改、删除操作，为不同健康需求用户，定制科学、个性化运动指导，助力运动健康管理；</w:t>
      </w:r>
      <w:r>
        <w:rPr>
          <w:rFonts w:hint="eastAsia" w:ascii="宋体" w:hAnsi="宋体" w:eastAsia="宋体" w:cs="宋体"/>
          <w:b w:val="0"/>
          <w:bCs w:val="0"/>
          <w:color w:val="auto"/>
          <w:sz w:val="24"/>
          <w:szCs w:val="24"/>
        </w:rPr>
        <w:t>（提供软件界面截图）</w:t>
      </w:r>
    </w:p>
    <w:p w14:paraId="4F37F741">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运动处方：支持创建开具运动处方，可设置处方名称、分类，编辑运动项目（含每日运动类型、时长、能耗、难度 ），关联运动方案，整合多维度运动参数与方案指导；</w:t>
      </w:r>
    </w:p>
    <w:p w14:paraId="049AC998">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运动计划：支持创建运动计划，可设置计划名称、关联运动处方、定义起止时间，选定关联机构与用户，同时支持预览运动项目（含每日运动类型、时长、能耗、难度 ）及运动方案详情。</w:t>
      </w:r>
    </w:p>
    <w:p w14:paraId="6E8A12BF">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知识库</w:t>
      </w:r>
    </w:p>
    <w:p w14:paraId="4FC90C04">
      <w:pPr>
        <w:keepNext w:val="0"/>
        <w:keepLines w:val="0"/>
        <w:pageBreakBefore w:val="0"/>
        <w:widowControl w:val="0"/>
        <w:numPr>
          <w:ilvl w:val="0"/>
          <w:numId w:val="1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科普库：支持管理健康资讯类内容，可新增、修改、删除文章，呈现文章类型、排序、标题、简介、来源、访问量、收藏数等信息，集中存储并便捷维护健康科普知识；</w:t>
      </w:r>
    </w:p>
    <w:p w14:paraId="32ADE088">
      <w:pPr>
        <w:keepNext w:val="0"/>
        <w:keepLines w:val="0"/>
        <w:pageBreakBefore w:val="0"/>
        <w:widowControl w:val="0"/>
        <w:numPr>
          <w:ilvl w:val="0"/>
          <w:numId w:val="1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食物知识库：支持对各类食物信息进行管理，记录食物图标、类别、名称、净含量、热量描述、计量单位等，支持新增、修改、删除操作；</w:t>
      </w:r>
    </w:p>
    <w:p w14:paraId="13613D9D">
      <w:pPr>
        <w:keepNext w:val="0"/>
        <w:keepLines w:val="0"/>
        <w:pageBreakBefore w:val="0"/>
        <w:widowControl w:val="0"/>
        <w:numPr>
          <w:ilvl w:val="0"/>
          <w:numId w:val="1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知识库：支持管理运动项目信息，记录运动名称、类型、热量、数量、单位、图标、强度、排序及更新时间，支持新增、修改、删除操作，为运动方案制定、健康管理等，提供标准化运动数据及便捷维护功能；</w:t>
      </w:r>
    </w:p>
    <w:p w14:paraId="2FAF210F">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方案库</w:t>
      </w:r>
    </w:p>
    <w:p w14:paraId="69126557">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饮食方案库：支持选择均衡膳食、低血糖指数饮食等多种饮食类型，可新增方案，展示各方案的适用人群、热量、启用等信息，还可对方案进行复制操作；</w:t>
      </w:r>
    </w:p>
    <w:p w14:paraId="58E30CDD">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运动方案库：支持按高血糖、高血压、高尿酸、常规运动等类别查看，可新增方案，展示各运动方案的适用人群、启用状态、运动计划内容等信息，且支持对方案进行复制操作。</w:t>
      </w:r>
    </w:p>
    <w:p w14:paraId="679F637B">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体重/疾病方案库：支持按体重、疾病、无代谢性疾病等分类查看，可新增方案，展示各方案的适用人群、启用状态、体重（或疾病相关）类型等信息，还可对方案进行复制操作；</w:t>
      </w:r>
    </w:p>
    <w:p w14:paraId="3B6B6DAB">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心理方案库：支持选择所属机构，通过方案名称、是否启用、是否公开等条件搜索，可按认知行为疗法（CBT）、情感支持等疗法类型分类查看，能新增方案，同时展示各方案的适用人群、疗法类型、启用及公开状态等信息，支持对方案进行复制操作；</w:t>
      </w:r>
    </w:p>
    <w:p w14:paraId="02F4EA2E">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睡眠方案库：支持按睡眠时长、睡眠建议分类查看，可通过 “人群” 筛选条件筛选，能新增方案，同时展示各睡眠方案的适用人群、针对人群、启用及公开状态等信息，支持对方案进行复制操作；</w:t>
      </w:r>
    </w:p>
    <w:p w14:paraId="1F354F83">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科普方案库：支持按肥胖相关知识、减肥技巧等类别查看，可新增方案，同时展示各科普方案的适用人群、知识类型、启用及公开状态等信息，支持对方案进行复制操作。</w:t>
      </w:r>
    </w:p>
    <w:p w14:paraId="4FD0B92C">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消息管理</w:t>
      </w:r>
    </w:p>
    <w:p w14:paraId="03577D61">
      <w:pPr>
        <w:keepNext w:val="0"/>
        <w:keepLines w:val="0"/>
        <w:pageBreakBefore w:val="0"/>
        <w:widowControl w:val="0"/>
        <w:numPr>
          <w:ilvl w:val="0"/>
          <w:numId w:val="1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用户短信：支持记录系统中用户短信信息，涵盖手机号码、短信类型、数据时间、等级、内容，标记是否发送及发送结果、创建与发送时间，用于管理健康预警、服务通知等短信收发，辅助健康管理沟通与风险提醒；</w:t>
      </w:r>
    </w:p>
    <w:p w14:paraId="30EE1AE0">
      <w:pPr>
        <w:keepNext w:val="0"/>
        <w:keepLines w:val="0"/>
        <w:pageBreakBefore w:val="0"/>
        <w:widowControl w:val="0"/>
        <w:numPr>
          <w:ilvl w:val="0"/>
          <w:numId w:val="1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用户消息：支持记录用户消息信息，涵盖消息类型（提醒、通知、运动等 ）、状态（未读 ）、标题、内容、检测及创建时间，用于集中管理健康预警、设备提醒、系统通知等消息，助力用户及时知晓健康相关信息；</w:t>
      </w:r>
    </w:p>
    <w:p w14:paraId="13ED03D9">
      <w:pPr>
        <w:keepNext w:val="0"/>
        <w:keepLines w:val="0"/>
        <w:pageBreakBefore w:val="0"/>
        <w:widowControl w:val="0"/>
        <w:numPr>
          <w:ilvl w:val="0"/>
          <w:numId w:val="1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个推消息：支持新增、搜索，可管理多样通知（如节日关怀、健康提醒、系统通知等 ），记录标题、内容、推送时间、推送人、目标用户，提供详情查看操作，助力定向向用户推送健康关怀、系统信息等内容，实现精准消息触达；</w:t>
      </w:r>
    </w:p>
    <w:p w14:paraId="2A66C7E9">
      <w:pPr>
        <w:keepNext w:val="0"/>
        <w:keepLines w:val="0"/>
        <w:pageBreakBefore w:val="0"/>
        <w:widowControl w:val="0"/>
        <w:numPr>
          <w:ilvl w:val="0"/>
          <w:numId w:val="1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短信提醒：短信提醒模块用于管理健康异常提醒，分紧急呼救、一级 / 二级提醒等类别，可按心率、血压等筛选，呈现用户名称、提醒等级、时间、原因、详情、设备类型，记录处理方式、沟通备注、状态及时间，支持批量 / 全部处理，助力及时响应健康风险预警 。</w:t>
      </w:r>
    </w:p>
    <w:p w14:paraId="51947DDC">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平台设置</w:t>
      </w:r>
    </w:p>
    <w:p w14:paraId="6AA24991">
      <w:pPr>
        <w:keepNext w:val="0"/>
        <w:keepLines w:val="0"/>
        <w:pageBreakBefore w:val="0"/>
        <w:widowControl w:val="0"/>
        <w:numPr>
          <w:ilvl w:val="0"/>
          <w:numId w:val="1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快捷回复：支持对用户的饮食打卡、运动打卡、消息处理措施等回复内容进行管理，可新增、修改、删除回复，涵盖饮食建议、运动提醒、健康异常沟通话术等，助力高效回复用户健康管理相关互动，规范沟通内容；</w:t>
      </w:r>
    </w:p>
    <w:p w14:paraId="1CABF2D5">
      <w:pPr>
        <w:keepNext w:val="0"/>
        <w:keepLines w:val="0"/>
        <w:pageBreakBefore w:val="0"/>
        <w:widowControl w:val="0"/>
        <w:numPr>
          <w:ilvl w:val="0"/>
          <w:numId w:val="1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报告规则：支持定义健康指标评估规则，涵盖健康状态、血糖、血糖占比、心率等指标，通过规则表达式判定输出结果（如良好、关注、正常等 ），关联得分与健康建议，支持新增、修改、删除操作，为健康报告分析提供标准化判定依据；</w:t>
      </w:r>
    </w:p>
    <w:p w14:paraId="2CE64D3C">
      <w:pPr>
        <w:keepNext w:val="0"/>
        <w:keepLines w:val="0"/>
        <w:pageBreakBefore w:val="0"/>
        <w:widowControl w:val="0"/>
        <w:numPr>
          <w:ilvl w:val="0"/>
          <w:numId w:val="1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设备管理：支持管理用户设备关联信息，可按所属机构、用户、设备编号检索，助力追踪用户健康设备绑定情况，支撑健康数据采集与管理 。</w:t>
      </w:r>
    </w:p>
    <w:p w14:paraId="247A382D">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公众用户端APP功能</w:t>
      </w:r>
    </w:p>
    <w:p w14:paraId="3979694A">
      <w:pPr>
        <w:keepNext w:val="0"/>
        <w:keepLines w:val="0"/>
        <w:pageBreakBefore w:val="0"/>
        <w:widowControl w:val="0"/>
        <w:numPr>
          <w:ilvl w:val="0"/>
          <w:numId w:val="1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首页</w:t>
      </w:r>
    </w:p>
    <w:p w14:paraId="2DFE827C">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运动处方管家：支持视频示范和语音指导帮助用户准确执行处方动作，同时提供每日计划提醒、训练打卡和效果反馈功能，让个性化运动方案变得简单易行、可持续；</w:t>
      </w:r>
    </w:p>
    <w:p w14:paraId="0F723D67">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健康监测：健康动态模块集中呈现用户智能穿戴设备采集的实时健康数据，涵盖睡眠、心率、血氧、血压趋势、体温、步数、睡眠、ECG、血糖趋势等指标；</w:t>
      </w:r>
    </w:p>
    <w:p w14:paraId="6DCE377D">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线咨询：支持用户与健康管理师在线实时沟通，可收发文字、图片消息、视频、文件等，包含健康问卷推送等交互，助力用户实时咨询健康问题、获取专业指导；健康报告：支持基于智能穿戴设备、用户行为数据、用户风险评估等多模态数据健康日报查看；支持人体成分检测报告查看；支持健康体检一体报告查看；</w:t>
      </w:r>
    </w:p>
    <w:p w14:paraId="3523F06E">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随访记录：支持完成管理者发布的随访任务操作。查看任务完成情况；支持随访任务自动提醒；</w:t>
      </w:r>
    </w:p>
    <w:p w14:paraId="0AC0A0AA">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健康测评：支持肥胖及相关代谢性疾病健康风险评估；支持睡眠测评_PSQI；支持高血糖测评；支持高血压测评；支持焦虑症测评；支持抑郁症测评；</w:t>
      </w:r>
    </w:p>
    <w:p w14:paraId="5A5E854E">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健康方案：支持用户查看并执行自己的专属健康管理方案；</w:t>
      </w:r>
    </w:p>
    <w:p w14:paraId="7A8549F9">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健康互动:支持饮食、运动打卡，饮食打卡可按日期展示已摄入、还可摄入热量及运动消耗；运动打卡呈现当日运动消耗、时长、次数，设 “去打卡” 入口，助力用户记录饮食与运动数据，管理健康生活方式；</w:t>
      </w:r>
    </w:p>
    <w:p w14:paraId="4D0D9792">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健康帮助:支持健康辅助工具，包含热量查询、运动查询、运动建议、使用教程 。</w:t>
      </w:r>
    </w:p>
    <w:p w14:paraId="3CDDA3CC">
      <w:pPr>
        <w:keepNext w:val="0"/>
        <w:keepLines w:val="0"/>
        <w:pageBreakBefore w:val="0"/>
        <w:widowControl w:val="0"/>
        <w:numPr>
          <w:ilvl w:val="0"/>
          <w:numId w:val="1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科普</w:t>
      </w:r>
    </w:p>
    <w:p w14:paraId="55E2D180">
      <w:pPr>
        <w:keepNext w:val="0"/>
        <w:keepLines w:val="0"/>
        <w:pageBreakBefore w:val="0"/>
        <w:widowControl w:val="0"/>
        <w:numPr>
          <w:ilvl w:val="0"/>
          <w:numId w:val="1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健康科普:支持热门文章、健康资讯、疾病百科、日常预防分类，呈现多元健康内容，助力用户获取健康知识，提升健康认知水平。</w:t>
      </w:r>
    </w:p>
    <w:p w14:paraId="18629877">
      <w:pPr>
        <w:keepNext w:val="0"/>
        <w:keepLines w:val="0"/>
        <w:pageBreakBefore w:val="0"/>
        <w:widowControl w:val="0"/>
        <w:numPr>
          <w:ilvl w:val="0"/>
          <w:numId w:val="1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消息</w:t>
      </w:r>
    </w:p>
    <w:p w14:paraId="200DB758">
      <w:pPr>
        <w:keepNext w:val="0"/>
        <w:keepLines w:val="0"/>
        <w:pageBreakBefore w:val="0"/>
        <w:widowControl w:val="0"/>
        <w:numPr>
          <w:ilvl w:val="0"/>
          <w:numId w:val="17"/>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系统消息:支持平台系统消息接收查看；</w:t>
      </w:r>
    </w:p>
    <w:p w14:paraId="49F6524E">
      <w:pPr>
        <w:keepNext w:val="0"/>
        <w:keepLines w:val="0"/>
        <w:pageBreakBefore w:val="0"/>
        <w:widowControl w:val="0"/>
        <w:numPr>
          <w:ilvl w:val="0"/>
          <w:numId w:val="17"/>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提醒消息:支持用户身体指标异常提醒消息查看；</w:t>
      </w:r>
    </w:p>
    <w:p w14:paraId="1EC2F770">
      <w:pPr>
        <w:keepNext w:val="0"/>
        <w:keepLines w:val="0"/>
        <w:pageBreakBefore w:val="0"/>
        <w:widowControl w:val="0"/>
        <w:numPr>
          <w:ilvl w:val="0"/>
          <w:numId w:val="17"/>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通知消息:支持系统通知类消息查看；</w:t>
      </w:r>
    </w:p>
    <w:p w14:paraId="1E5015E6">
      <w:pPr>
        <w:keepNext w:val="0"/>
        <w:keepLines w:val="0"/>
        <w:pageBreakBefore w:val="0"/>
        <w:widowControl w:val="0"/>
        <w:numPr>
          <w:ilvl w:val="0"/>
          <w:numId w:val="17"/>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运动消息:支持运行提醒消息查看。</w:t>
      </w:r>
    </w:p>
    <w:p w14:paraId="73F5D138">
      <w:pPr>
        <w:keepNext w:val="0"/>
        <w:keepLines w:val="0"/>
        <w:pageBreakBefore w:val="0"/>
        <w:widowControl w:val="0"/>
        <w:numPr>
          <w:ilvl w:val="0"/>
          <w:numId w:val="1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个人</w:t>
      </w:r>
    </w:p>
    <w:p w14:paraId="1ABBFFFC">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智能设备：智能设备配置模块用于管理我的设备，展示设备基本信息，可设置通知提醒、运动睡眠目标，支持联系人、蓝牙、固件、天气、表盘等设置，还能查找设备、恢复出厂或复位，及解除绑定，助力个性化配置与管理智能穿戴；</w:t>
      </w:r>
    </w:p>
    <w:p w14:paraId="13D905D7">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的档案：支持录入姓名、性别、身高、体重等基础信息，涵盖出生年月、所在城市、血型设置，可标记高血糖、高血压等健康指标状态，关联专属管家，还能添加紧急联系人、记录现用药、既往用药、现病史及既往史，帮助用户系统管理体重相关健康数据；</w:t>
      </w:r>
    </w:p>
    <w:p w14:paraId="6D6DCFD9">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我的服务包：支持用户运动健康管理服务包信息，能查看服务包名称、有效期及完成状态，方便用户了解所购服务的详情与进度；</w:t>
      </w:r>
    </w:p>
    <w:p w14:paraId="4583121A">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运动提醒：支持用户自定义设置运动提醒时间，选定重复周期（周一至周日按需勾选），即可按设定规律接收运动提醒，助力养成规律运动习惯，辅助体重管理 ；</w:t>
      </w:r>
    </w:p>
    <w:p w14:paraId="5C90FBCB">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我的收藏：用于集中存放用户在健康管理 APP 中收藏的科普类内容，方便用户随时查阅、回顾这些对体重管理有参考价值的知识；</w:t>
      </w:r>
    </w:p>
    <w:p w14:paraId="4A59D88F">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检查报告：支持用户分类管理体检报告、睡眠筛查、肥胖生化、基因检测等健康检查数据，可通过自主上传相关报告信息，便于集中查看、跟踪体重管理相关的身体检查情况；</w:t>
      </w:r>
    </w:p>
    <w:p w14:paraId="6D24361A">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我的照片：支持用户上传体重管理干预前、干预后的照片，通过分类标记（干预前 / 干预后），并可保存上传内容，帮助用户直观对比体重管理过程中身体外观变化，辅助体重管理效果追踪；</w:t>
      </w:r>
    </w:p>
    <w:p w14:paraId="4CB0100B">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常见问题：用户可按需点击查看对应帮助内容，解决健康管理过程中 APP 操作、设备连接使用等疑问；</w:t>
      </w:r>
    </w:p>
    <w:p w14:paraId="4AB5B510">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系统设置：系统相关设置参数配置。</w:t>
      </w:r>
    </w:p>
    <w:p w14:paraId="158922F4">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管理端APP功能</w:t>
      </w:r>
    </w:p>
    <w:p w14:paraId="792CC793">
      <w:pPr>
        <w:keepNext w:val="0"/>
        <w:keepLines w:val="0"/>
        <w:pageBreakBefore w:val="0"/>
        <w:widowControl w:val="0"/>
        <w:numPr>
          <w:ilvl w:val="0"/>
          <w:numId w:val="1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主页</w:t>
      </w:r>
    </w:p>
    <w:p w14:paraId="49CFC1BC">
      <w:pPr>
        <w:keepNext w:val="0"/>
        <w:keepLines w:val="0"/>
        <w:pageBreakBefore w:val="0"/>
        <w:widowControl w:val="0"/>
        <w:numPr>
          <w:ilvl w:val="0"/>
          <w:numId w:val="2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用户分组：支持按健康标签对用户分类，可搜索用户名，能添加分组，对不同分组支持群发操作，支持用户首访操作，助力高效管理、运营不同健康特征用户群体；</w:t>
      </w:r>
      <w:r>
        <w:rPr>
          <w:rFonts w:hint="eastAsia" w:ascii="宋体" w:hAnsi="宋体" w:eastAsia="宋体" w:cs="宋体"/>
          <w:b w:val="0"/>
          <w:bCs w:val="0"/>
          <w:color w:val="auto"/>
          <w:sz w:val="24"/>
          <w:szCs w:val="24"/>
        </w:rPr>
        <w:t>（提供软件界面截图）</w:t>
      </w:r>
    </w:p>
    <w:p w14:paraId="6AEEC6ED">
      <w:pPr>
        <w:keepNext w:val="0"/>
        <w:keepLines w:val="0"/>
        <w:pageBreakBefore w:val="0"/>
        <w:widowControl w:val="0"/>
        <w:numPr>
          <w:ilvl w:val="0"/>
          <w:numId w:val="2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饮食打卡：支持管理的用户饮食打卡信息，能查看具体餐食的重量、热量及营养成分，支持搜索用户名，还可对打卡内容进行评价，助力管理监督用户体重管理相关饮食情况；</w:t>
      </w:r>
    </w:p>
    <w:p w14:paraId="74C2D3F0">
      <w:pPr>
        <w:keepNext w:val="0"/>
        <w:keepLines w:val="0"/>
        <w:pageBreakBefore w:val="0"/>
        <w:widowControl w:val="0"/>
        <w:numPr>
          <w:ilvl w:val="0"/>
          <w:numId w:val="2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打卡：支持管理的用户运动打卡信息，能查看具体运动项目热量消耗情况，支持搜索用户名，还可对打卡内容进行评价，助力管理监督用户体重管理相关运动情况；随访记录：健康随访任务管理，含任务名称、周期、开始时间及任务进度，能查看各次随访的具体内容及状态，支持按时间、状态筛选，助力管理方跟踪用户健康随访情况，为体重管理及健康干预提供依据；</w:t>
      </w:r>
    </w:p>
    <w:p w14:paraId="042D1F88">
      <w:pPr>
        <w:keepNext w:val="0"/>
        <w:keepLines w:val="0"/>
        <w:pageBreakBefore w:val="0"/>
        <w:widowControl w:val="0"/>
        <w:numPr>
          <w:ilvl w:val="0"/>
          <w:numId w:val="2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用户统计：支持管理的用户理总人数、今日上线人数等基础数据，通过病史统计、年龄分布、性别占比等多维度图表，直观展现用户群体健康及结构特征，辅助分析健康管理相关数据 。</w:t>
      </w:r>
      <w:r>
        <w:rPr>
          <w:rFonts w:hint="eastAsia" w:ascii="宋体" w:hAnsi="宋体" w:eastAsia="宋体" w:cs="宋体"/>
          <w:b w:val="0"/>
          <w:bCs w:val="0"/>
          <w:color w:val="auto"/>
          <w:sz w:val="24"/>
          <w:szCs w:val="24"/>
        </w:rPr>
        <w:t>（提供软件界面截图）</w:t>
      </w:r>
    </w:p>
    <w:p w14:paraId="5673A4D6">
      <w:pPr>
        <w:keepNext w:val="0"/>
        <w:keepLines w:val="0"/>
        <w:pageBreakBefore w:val="0"/>
        <w:widowControl w:val="0"/>
        <w:numPr>
          <w:ilvl w:val="0"/>
          <w:numId w:val="1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提醒功能</w:t>
      </w:r>
    </w:p>
    <w:p w14:paraId="05B6F46B">
      <w:pPr>
        <w:keepNext w:val="0"/>
        <w:keepLines w:val="0"/>
        <w:pageBreakBefore w:val="0"/>
        <w:widowControl w:val="0"/>
        <w:numPr>
          <w:ilvl w:val="0"/>
          <w:numId w:val="2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紧急呼救： 支持健康管理人员处理用户紧急求救信息；</w:t>
      </w:r>
      <w:r>
        <w:rPr>
          <w:rFonts w:hint="eastAsia" w:ascii="宋体" w:hAnsi="宋体" w:eastAsia="宋体" w:cs="宋体"/>
          <w:b w:val="0"/>
          <w:bCs w:val="0"/>
          <w:color w:val="auto"/>
          <w:sz w:val="24"/>
          <w:szCs w:val="24"/>
        </w:rPr>
        <w:t>（提供软件界面截图）</w:t>
      </w:r>
    </w:p>
    <w:p w14:paraId="7042D408">
      <w:pPr>
        <w:keepNext w:val="0"/>
        <w:keepLines w:val="0"/>
        <w:pageBreakBefore w:val="0"/>
        <w:widowControl w:val="0"/>
        <w:numPr>
          <w:ilvl w:val="0"/>
          <w:numId w:val="2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一级提醒：支持健康管理人员处理用户一级健康报警信息；</w:t>
      </w:r>
    </w:p>
    <w:p w14:paraId="2CC08A0D">
      <w:pPr>
        <w:keepNext w:val="0"/>
        <w:keepLines w:val="0"/>
        <w:pageBreakBefore w:val="0"/>
        <w:widowControl w:val="0"/>
        <w:numPr>
          <w:ilvl w:val="0"/>
          <w:numId w:val="2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二级提醒：支持健康管理人员处理用户二健康报警信息；</w:t>
      </w:r>
    </w:p>
    <w:p w14:paraId="5122F2D3">
      <w:pPr>
        <w:keepNext w:val="0"/>
        <w:keepLines w:val="0"/>
        <w:pageBreakBefore w:val="0"/>
        <w:widowControl w:val="0"/>
        <w:numPr>
          <w:ilvl w:val="0"/>
          <w:numId w:val="2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历史记录：支持健康管理人员处理报警信息的历史记录查看。</w:t>
      </w:r>
    </w:p>
    <w:p w14:paraId="4E414631">
      <w:pPr>
        <w:keepNext w:val="0"/>
        <w:keepLines w:val="0"/>
        <w:pageBreakBefore w:val="0"/>
        <w:widowControl w:val="0"/>
        <w:numPr>
          <w:ilvl w:val="0"/>
          <w:numId w:val="1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消息模块</w:t>
      </w:r>
    </w:p>
    <w:p w14:paraId="5F5AD7C6">
      <w:pPr>
        <w:keepNext w:val="0"/>
        <w:keepLines w:val="0"/>
        <w:pageBreakBefore w:val="0"/>
        <w:widowControl w:val="0"/>
        <w:numPr>
          <w:ilvl w:val="0"/>
          <w:numId w:val="2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消息系统：支持即时聊天消息查看，支持发起群聊功能。</w:t>
      </w:r>
    </w:p>
    <w:p w14:paraId="5BACA118">
      <w:pPr>
        <w:keepNext w:val="0"/>
        <w:keepLines w:val="0"/>
        <w:pageBreakBefore w:val="0"/>
        <w:widowControl w:val="0"/>
        <w:numPr>
          <w:ilvl w:val="0"/>
          <w:numId w:val="1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我的模块</w:t>
      </w:r>
    </w:p>
    <w:p w14:paraId="5BCFAB7B">
      <w:pPr>
        <w:keepNext w:val="0"/>
        <w:keepLines w:val="0"/>
        <w:pageBreakBefore w:val="0"/>
        <w:widowControl w:val="0"/>
        <w:numPr>
          <w:ilvl w:val="0"/>
          <w:numId w:val="2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个人信息：支持健康管理师个人基本信息维护、查看；</w:t>
      </w:r>
    </w:p>
    <w:p w14:paraId="0EB1B0A0">
      <w:pPr>
        <w:keepNext w:val="0"/>
        <w:keepLines w:val="0"/>
        <w:pageBreakBefore w:val="0"/>
        <w:widowControl w:val="0"/>
        <w:numPr>
          <w:ilvl w:val="0"/>
          <w:numId w:val="2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修改电话：支持修改绑定电话号码；</w:t>
      </w:r>
    </w:p>
    <w:p w14:paraId="4AE3A66B">
      <w:pPr>
        <w:keepNext w:val="0"/>
        <w:keepLines w:val="0"/>
        <w:pageBreakBefore w:val="0"/>
        <w:widowControl w:val="0"/>
        <w:numPr>
          <w:ilvl w:val="0"/>
          <w:numId w:val="2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系统设置：支持用户协议、隐私政策、软件版本的信息查看。</w:t>
      </w:r>
    </w:p>
    <w:p w14:paraId="275AF864">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运动处方库建设</w:t>
      </w:r>
    </w:p>
    <w:p w14:paraId="004DED77">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运动处方库建设:建成覆盖800+标准化运动处方的权威数据库，涵盖且不限于慢性病防控、老年健康、青少年体质提升、运动康复等重点领域。</w:t>
      </w:r>
    </w:p>
    <w:p w14:paraId="3B33FFD4">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中医膳食资源库建设</w:t>
      </w:r>
    </w:p>
    <w:p w14:paraId="4DD593A5">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中医</w:t>
      </w:r>
      <w:r>
        <w:rPr>
          <w:rFonts w:hint="eastAsia" w:ascii="宋体" w:hAnsi="宋体" w:eastAsia="宋体" w:cs="宋体"/>
          <w:sz w:val="24"/>
          <w:szCs w:val="24"/>
          <w:lang w:val="en-US" w:eastAsia="zh-CN"/>
        </w:rPr>
        <w:t>膳食资源库建设:开发 1000+套标准化中医膳食方案，涵盖且不限于肥胖、糖尿病、高血压、高血脂等常见慢病人群及亚健康人群等提供差异化食谱。</w:t>
      </w:r>
    </w:p>
    <w:p w14:paraId="6CE0B272">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综合评价指标体系建设</w:t>
      </w:r>
    </w:p>
    <w:p w14:paraId="3FE54BF6">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构建一套科学、全面、可操作的健康综合评价指标体系，覆盖身体形态、机能、素质、心理及生活方式五大维度。</w:t>
      </w:r>
    </w:p>
    <w:p w14:paraId="2592C65E">
      <w:pPr>
        <w:rPr>
          <w:rFonts w:hint="default"/>
          <w:lang w:val="en-US" w:eastAsia="zh-CN"/>
        </w:rPr>
      </w:pPr>
    </w:p>
    <w:p w14:paraId="10DDFFA3">
      <w:pPr>
        <w:pStyle w:val="5"/>
        <w:rPr>
          <w:rFonts w:hint="default"/>
          <w:lang w:val="en-US" w:eastAsia="zh-CN"/>
        </w:rPr>
      </w:pPr>
    </w:p>
    <w:p w14:paraId="6EEC36CF">
      <w:pPr>
        <w:rPr>
          <w:rFonts w:hint="default"/>
          <w:lang w:val="en-US" w:eastAsia="zh-CN"/>
        </w:rPr>
      </w:pPr>
    </w:p>
    <w:p w14:paraId="514E33BC">
      <w:pPr>
        <w:pStyle w:val="5"/>
        <w:rPr>
          <w:rFonts w:hint="default"/>
          <w:lang w:val="en-US" w:eastAsia="zh-CN"/>
        </w:rPr>
      </w:pPr>
    </w:p>
    <w:p w14:paraId="4C4E2A2D">
      <w:pPr>
        <w:rPr>
          <w:rFonts w:hint="default"/>
          <w:lang w:val="en-US" w:eastAsia="zh-CN"/>
        </w:rPr>
      </w:pPr>
    </w:p>
    <w:p w14:paraId="41D68500">
      <w:pPr>
        <w:pStyle w:val="3"/>
        <w:rPr>
          <w:rFonts w:hint="default"/>
          <w:lang w:val="en-US" w:eastAsia="zh-CN"/>
        </w:rPr>
      </w:pPr>
    </w:p>
    <w:p w14:paraId="35B066CE">
      <w:pPr>
        <w:pStyle w:val="3"/>
        <w:snapToGrid w:val="0"/>
        <w:spacing w:after="0" w:line="360" w:lineRule="auto"/>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商务要求：</w:t>
      </w:r>
    </w:p>
    <w:p w14:paraId="49426FFF">
      <w:p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1、实施周期：自合同签订之日起90天。</w:t>
      </w:r>
    </w:p>
    <w:p w14:paraId="43EF8A95">
      <w:p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付款方式：本合同生效后14日内，向乙方支付合同总价的百分之肆拾款项；平台调试完毕，初验收合格后14日内，向乙方支付合同总价的百分之肆拾款项；最终验收合格14日内，向乙方支付合同总价的百分之贰拾款项。</w:t>
      </w:r>
    </w:p>
    <w:p w14:paraId="0F4FB1A3">
      <w:pPr>
        <w:pStyle w:val="5"/>
        <w:rPr>
          <w:rFonts w:hint="eastAsia"/>
        </w:rPr>
      </w:pPr>
    </w:p>
    <w:tbl>
      <w:tblPr>
        <w:tblStyle w:val="10"/>
        <w:tblW w:w="10536"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autofit"/>
        <w:tblCellMar>
          <w:top w:w="0" w:type="dxa"/>
          <w:left w:w="108" w:type="dxa"/>
          <w:bottom w:w="0" w:type="dxa"/>
          <w:right w:w="108" w:type="dxa"/>
        </w:tblCellMar>
      </w:tblPr>
      <w:tblGrid>
        <w:gridCol w:w="840"/>
        <w:gridCol w:w="2850"/>
        <w:gridCol w:w="6108"/>
        <w:gridCol w:w="738"/>
      </w:tblGrid>
      <w:tr w14:paraId="486B613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10536" w:type="dxa"/>
            <w:gridSpan w:val="4"/>
            <w:tcBorders>
              <w:tl2br w:val="nil"/>
              <w:tr2bl w:val="nil"/>
            </w:tcBorders>
          </w:tcPr>
          <w:p w14:paraId="571107F8">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四川</w:t>
            </w:r>
            <w:r>
              <w:rPr>
                <w:rFonts w:hint="eastAsia" w:ascii="宋体" w:hAnsi="宋体" w:eastAsia="宋体" w:cs="宋体"/>
                <w:b/>
                <w:bCs/>
                <w:sz w:val="24"/>
                <w:szCs w:val="24"/>
                <w:highlight w:val="none"/>
                <w:lang w:val="en-US" w:eastAsia="zh-CN"/>
              </w:rPr>
              <w:t>省运动处方健康管理服务平台</w:t>
            </w:r>
            <w:r>
              <w:rPr>
                <w:rFonts w:hint="eastAsia" w:ascii="宋体" w:hAnsi="宋体" w:eastAsia="宋体" w:cs="宋体"/>
                <w:b/>
                <w:bCs/>
                <w:sz w:val="24"/>
                <w:szCs w:val="24"/>
                <w:highlight w:val="none"/>
              </w:rPr>
              <w:t>采购项目</w:t>
            </w:r>
            <w:r>
              <w:rPr>
                <w:rFonts w:hint="eastAsia" w:ascii="宋体" w:hAnsi="宋体" w:eastAsia="宋体" w:cs="宋体"/>
                <w:b/>
                <w:bCs/>
                <w:sz w:val="24"/>
                <w:szCs w:val="24"/>
                <w:highlight w:val="none"/>
              </w:rPr>
              <w:t>需求调查意见表</w:t>
            </w:r>
          </w:p>
        </w:tc>
      </w:tr>
      <w:tr w14:paraId="334269F8">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vAlign w:val="center"/>
          </w:tcPr>
          <w:p w14:paraId="5BF1A091">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序号</w:t>
            </w:r>
          </w:p>
        </w:tc>
        <w:tc>
          <w:tcPr>
            <w:tcW w:w="2850" w:type="dxa"/>
            <w:tcBorders>
              <w:tl2br w:val="nil"/>
              <w:tr2bl w:val="nil"/>
            </w:tcBorders>
            <w:vAlign w:val="center"/>
          </w:tcPr>
          <w:p w14:paraId="50370632">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需求调查内容</w:t>
            </w:r>
          </w:p>
        </w:tc>
        <w:tc>
          <w:tcPr>
            <w:tcW w:w="6108" w:type="dxa"/>
            <w:tcBorders>
              <w:tl2br w:val="nil"/>
              <w:tr2bl w:val="nil"/>
            </w:tcBorders>
            <w:vAlign w:val="center"/>
          </w:tcPr>
          <w:p w14:paraId="3E0C3CD7">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回复内容</w:t>
            </w:r>
          </w:p>
        </w:tc>
        <w:tc>
          <w:tcPr>
            <w:tcW w:w="738" w:type="dxa"/>
            <w:tcBorders>
              <w:tl2br w:val="nil"/>
              <w:tr2bl w:val="nil"/>
            </w:tcBorders>
            <w:vAlign w:val="center"/>
          </w:tcPr>
          <w:p w14:paraId="3B6C4CBA">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备注</w:t>
            </w:r>
          </w:p>
        </w:tc>
      </w:tr>
      <w:tr w14:paraId="5535DE4B">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38010AF9">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1</w:t>
            </w:r>
          </w:p>
        </w:tc>
        <w:tc>
          <w:tcPr>
            <w:tcW w:w="2850" w:type="dxa"/>
            <w:tcBorders>
              <w:tl2br w:val="nil"/>
              <w:tr2bl w:val="nil"/>
            </w:tcBorders>
          </w:tcPr>
          <w:p w14:paraId="600A3646">
            <w:pPr>
              <w:spacing w:line="360" w:lineRule="auto"/>
              <w:jc w:val="left"/>
              <w:rPr>
                <w:rFonts w:ascii="宋体" w:hAnsi="宋体" w:eastAsia="宋体" w:cs="宋体"/>
                <w:b/>
                <w:bCs/>
                <w:sz w:val="24"/>
                <w:szCs w:val="24"/>
                <w:highlight w:val="none"/>
              </w:rPr>
            </w:pPr>
            <w:r>
              <w:rPr>
                <w:rFonts w:hint="eastAsia" w:ascii="宋体" w:hAnsi="宋体" w:eastAsia="宋体" w:cs="宋体"/>
                <w:sz w:val="24"/>
                <w:szCs w:val="24"/>
                <w:highlight w:val="none"/>
              </w:rPr>
              <w:t>本次采购服务内容的相关产业发展</w:t>
            </w:r>
          </w:p>
        </w:tc>
        <w:tc>
          <w:tcPr>
            <w:tcW w:w="6108" w:type="dxa"/>
            <w:tcBorders>
              <w:tl2br w:val="nil"/>
              <w:tr2bl w:val="nil"/>
            </w:tcBorders>
          </w:tcPr>
          <w:p w14:paraId="04FDCB91">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5354884D">
            <w:pPr>
              <w:spacing w:line="360" w:lineRule="auto"/>
              <w:jc w:val="center"/>
              <w:rPr>
                <w:rFonts w:ascii="宋体" w:hAnsi="宋体" w:eastAsia="宋体" w:cs="宋体"/>
                <w:b/>
                <w:bCs/>
                <w:sz w:val="24"/>
                <w:szCs w:val="24"/>
                <w:highlight w:val="none"/>
              </w:rPr>
            </w:pPr>
          </w:p>
        </w:tc>
      </w:tr>
      <w:tr w14:paraId="59ED360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35C6ECD2">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2</w:t>
            </w:r>
          </w:p>
        </w:tc>
        <w:tc>
          <w:tcPr>
            <w:tcW w:w="2850" w:type="dxa"/>
            <w:tcBorders>
              <w:tl2br w:val="nil"/>
              <w:tr2bl w:val="nil"/>
            </w:tcBorders>
          </w:tcPr>
          <w:p w14:paraId="6FBC6A53">
            <w:pPr>
              <w:spacing w:line="360" w:lineRule="auto"/>
              <w:jc w:val="left"/>
              <w:rPr>
                <w:rFonts w:ascii="宋体" w:hAnsi="宋体" w:eastAsia="宋体" w:cs="宋体"/>
                <w:b/>
                <w:bCs/>
                <w:sz w:val="24"/>
                <w:szCs w:val="24"/>
                <w:highlight w:val="none"/>
              </w:rPr>
            </w:pPr>
            <w:r>
              <w:rPr>
                <w:rFonts w:hint="eastAsia" w:ascii="宋体" w:hAnsi="宋体" w:eastAsia="宋体" w:cs="宋体"/>
                <w:sz w:val="24"/>
                <w:szCs w:val="24"/>
                <w:highlight w:val="none"/>
              </w:rPr>
              <w:t>市场供给</w:t>
            </w:r>
          </w:p>
        </w:tc>
        <w:tc>
          <w:tcPr>
            <w:tcW w:w="6108" w:type="dxa"/>
            <w:tcBorders>
              <w:tl2br w:val="nil"/>
              <w:tr2bl w:val="nil"/>
            </w:tcBorders>
          </w:tcPr>
          <w:p w14:paraId="5D519AC7">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739B5EA3">
            <w:pPr>
              <w:spacing w:line="360" w:lineRule="auto"/>
              <w:jc w:val="center"/>
              <w:rPr>
                <w:rFonts w:ascii="宋体" w:hAnsi="宋体" w:eastAsia="宋体" w:cs="宋体"/>
                <w:b/>
                <w:bCs/>
                <w:sz w:val="24"/>
                <w:szCs w:val="24"/>
                <w:highlight w:val="none"/>
              </w:rPr>
            </w:pPr>
          </w:p>
        </w:tc>
      </w:tr>
      <w:tr w14:paraId="5B0B8882">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123131CD">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3</w:t>
            </w:r>
          </w:p>
        </w:tc>
        <w:tc>
          <w:tcPr>
            <w:tcW w:w="2850" w:type="dxa"/>
            <w:tcBorders>
              <w:tl2br w:val="nil"/>
              <w:tr2bl w:val="nil"/>
            </w:tcBorders>
          </w:tcPr>
          <w:p w14:paraId="32132A29">
            <w:pPr>
              <w:spacing w:line="360" w:lineRule="auto"/>
              <w:jc w:val="left"/>
              <w:rPr>
                <w:rFonts w:ascii="宋体" w:hAnsi="宋体" w:eastAsia="宋体" w:cs="宋体"/>
                <w:b/>
                <w:bCs/>
                <w:sz w:val="24"/>
                <w:szCs w:val="24"/>
                <w:highlight w:val="none"/>
              </w:rPr>
            </w:pPr>
            <w:r>
              <w:rPr>
                <w:rFonts w:hint="eastAsia" w:ascii="宋体" w:hAnsi="宋体" w:eastAsia="宋体" w:cs="宋体"/>
                <w:sz w:val="24"/>
                <w:szCs w:val="24"/>
                <w:highlight w:val="none"/>
              </w:rPr>
              <w:t>同类采购项目历史成交信息</w:t>
            </w:r>
          </w:p>
        </w:tc>
        <w:tc>
          <w:tcPr>
            <w:tcW w:w="6108" w:type="dxa"/>
            <w:tcBorders>
              <w:tl2br w:val="nil"/>
              <w:tr2bl w:val="nil"/>
            </w:tcBorders>
          </w:tcPr>
          <w:p w14:paraId="4F0AF5FE">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7FF90748">
            <w:pPr>
              <w:spacing w:line="360" w:lineRule="auto"/>
              <w:jc w:val="center"/>
              <w:rPr>
                <w:rFonts w:ascii="宋体" w:hAnsi="宋体" w:eastAsia="宋体" w:cs="宋体"/>
                <w:b/>
                <w:bCs/>
                <w:sz w:val="24"/>
                <w:szCs w:val="24"/>
                <w:highlight w:val="none"/>
              </w:rPr>
            </w:pPr>
          </w:p>
        </w:tc>
      </w:tr>
      <w:tr w14:paraId="3CF4001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6EFAC070">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4</w:t>
            </w:r>
          </w:p>
        </w:tc>
        <w:tc>
          <w:tcPr>
            <w:tcW w:w="2850" w:type="dxa"/>
            <w:tcBorders>
              <w:tl2br w:val="nil"/>
              <w:tr2bl w:val="nil"/>
            </w:tcBorders>
          </w:tcPr>
          <w:p w14:paraId="6D2A5F21">
            <w:pPr>
              <w:spacing w:line="360" w:lineRule="auto"/>
              <w:jc w:val="left"/>
              <w:rPr>
                <w:rFonts w:ascii="宋体" w:hAnsi="宋体" w:eastAsia="宋体" w:cs="宋体"/>
                <w:b/>
                <w:bCs/>
                <w:sz w:val="24"/>
                <w:szCs w:val="24"/>
                <w:highlight w:val="none"/>
              </w:rPr>
            </w:pPr>
            <w:r>
              <w:rPr>
                <w:rFonts w:hint="eastAsia" w:ascii="宋体" w:hAnsi="宋体" w:eastAsia="宋体" w:cs="宋体"/>
                <w:sz w:val="24"/>
                <w:szCs w:val="24"/>
                <w:highlight w:val="none"/>
              </w:rPr>
              <w:t>可能涉及的运行维护、升级更新、备品备件、耗材等后续采购</w:t>
            </w:r>
          </w:p>
        </w:tc>
        <w:tc>
          <w:tcPr>
            <w:tcW w:w="6108" w:type="dxa"/>
            <w:tcBorders>
              <w:tl2br w:val="nil"/>
              <w:tr2bl w:val="nil"/>
            </w:tcBorders>
          </w:tcPr>
          <w:p w14:paraId="48F364DD">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734939B6">
            <w:pPr>
              <w:spacing w:line="360" w:lineRule="auto"/>
              <w:jc w:val="center"/>
              <w:rPr>
                <w:rFonts w:ascii="宋体" w:hAnsi="宋体" w:eastAsia="宋体" w:cs="宋体"/>
                <w:b/>
                <w:bCs/>
                <w:sz w:val="24"/>
                <w:szCs w:val="24"/>
                <w:highlight w:val="none"/>
              </w:rPr>
            </w:pPr>
          </w:p>
        </w:tc>
      </w:tr>
      <w:tr w14:paraId="3052A2A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035E457A">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5</w:t>
            </w:r>
          </w:p>
        </w:tc>
        <w:tc>
          <w:tcPr>
            <w:tcW w:w="2850" w:type="dxa"/>
            <w:tcBorders>
              <w:tl2br w:val="nil"/>
              <w:tr2bl w:val="nil"/>
            </w:tcBorders>
          </w:tcPr>
          <w:p w14:paraId="7DBE0A14">
            <w:pPr>
              <w:spacing w:line="360" w:lineRule="auto"/>
              <w:jc w:val="left"/>
              <w:rPr>
                <w:rFonts w:ascii="宋体" w:hAnsi="宋体" w:eastAsia="宋体" w:cs="宋体"/>
                <w:b/>
                <w:bCs/>
                <w:sz w:val="24"/>
                <w:szCs w:val="24"/>
                <w:highlight w:val="none"/>
              </w:rPr>
            </w:pPr>
            <w:r>
              <w:rPr>
                <w:rFonts w:hint="eastAsia" w:ascii="宋体" w:hAnsi="宋体" w:eastAsia="宋体" w:cs="宋体"/>
                <w:sz w:val="24"/>
                <w:szCs w:val="24"/>
                <w:highlight w:val="none"/>
              </w:rPr>
              <w:t>针对本项目能够提供的具体服务内容</w:t>
            </w:r>
          </w:p>
        </w:tc>
        <w:tc>
          <w:tcPr>
            <w:tcW w:w="6108" w:type="dxa"/>
            <w:tcBorders>
              <w:tl2br w:val="nil"/>
              <w:tr2bl w:val="nil"/>
            </w:tcBorders>
          </w:tcPr>
          <w:p w14:paraId="468772BC">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596CA6DF">
            <w:pPr>
              <w:spacing w:line="360" w:lineRule="auto"/>
              <w:jc w:val="center"/>
              <w:rPr>
                <w:rFonts w:ascii="宋体" w:hAnsi="宋体" w:eastAsia="宋体" w:cs="宋体"/>
                <w:b/>
                <w:bCs/>
                <w:sz w:val="24"/>
                <w:szCs w:val="24"/>
                <w:highlight w:val="none"/>
              </w:rPr>
            </w:pPr>
          </w:p>
        </w:tc>
      </w:tr>
      <w:tr w14:paraId="06025D7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2ECE7EC4">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6</w:t>
            </w:r>
          </w:p>
        </w:tc>
        <w:tc>
          <w:tcPr>
            <w:tcW w:w="2850" w:type="dxa"/>
            <w:tcBorders>
              <w:tl2br w:val="nil"/>
              <w:tr2bl w:val="nil"/>
            </w:tcBorders>
          </w:tcPr>
          <w:p w14:paraId="0DC6F457">
            <w:pPr>
              <w:spacing w:line="360"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针对本项目的商务要求，如付款要求、服务人员的配置数量、服务岗位的配置等</w:t>
            </w:r>
          </w:p>
        </w:tc>
        <w:tc>
          <w:tcPr>
            <w:tcW w:w="6108" w:type="dxa"/>
            <w:tcBorders>
              <w:tl2br w:val="nil"/>
              <w:tr2bl w:val="nil"/>
            </w:tcBorders>
          </w:tcPr>
          <w:p w14:paraId="5807679B">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16AC392C">
            <w:pPr>
              <w:spacing w:line="360" w:lineRule="auto"/>
              <w:jc w:val="center"/>
              <w:rPr>
                <w:rFonts w:ascii="宋体" w:hAnsi="宋体" w:eastAsia="宋体" w:cs="宋体"/>
                <w:b/>
                <w:bCs/>
                <w:sz w:val="24"/>
                <w:szCs w:val="24"/>
                <w:highlight w:val="none"/>
              </w:rPr>
            </w:pPr>
          </w:p>
        </w:tc>
      </w:tr>
      <w:tr w14:paraId="5EA64F6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2C87337C">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7</w:t>
            </w:r>
          </w:p>
        </w:tc>
        <w:tc>
          <w:tcPr>
            <w:tcW w:w="2850" w:type="dxa"/>
            <w:tcBorders>
              <w:tl2br w:val="nil"/>
              <w:tr2bl w:val="nil"/>
            </w:tcBorders>
          </w:tcPr>
          <w:p w14:paraId="322D83B1">
            <w:pPr>
              <w:spacing w:line="360"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针对本项目的费用构成，包括人员、设备损耗、耗材、软件、系统集成等</w:t>
            </w:r>
          </w:p>
        </w:tc>
        <w:tc>
          <w:tcPr>
            <w:tcW w:w="6108" w:type="dxa"/>
            <w:tcBorders>
              <w:tl2br w:val="nil"/>
              <w:tr2bl w:val="nil"/>
            </w:tcBorders>
          </w:tcPr>
          <w:p w14:paraId="531D03F4">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275616F8">
            <w:pPr>
              <w:spacing w:line="360" w:lineRule="auto"/>
              <w:jc w:val="center"/>
              <w:rPr>
                <w:rFonts w:ascii="宋体" w:hAnsi="宋体" w:eastAsia="宋体" w:cs="宋体"/>
                <w:b/>
                <w:bCs/>
                <w:sz w:val="24"/>
                <w:szCs w:val="24"/>
                <w:highlight w:val="none"/>
              </w:rPr>
            </w:pPr>
          </w:p>
        </w:tc>
      </w:tr>
      <w:tr w14:paraId="1136AA23">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7FD774B1">
            <w:pPr>
              <w:spacing w:line="360" w:lineRule="auto"/>
              <w:jc w:val="center"/>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val="en-US" w:eastAsia="zh-CN"/>
              </w:rPr>
              <w:t>8</w:t>
            </w:r>
          </w:p>
        </w:tc>
        <w:tc>
          <w:tcPr>
            <w:tcW w:w="2850" w:type="dxa"/>
            <w:tcBorders>
              <w:tl2br w:val="nil"/>
              <w:tr2bl w:val="nil"/>
            </w:tcBorders>
          </w:tcPr>
          <w:p w14:paraId="355756A9">
            <w:pPr>
              <w:spacing w:line="360"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本项目目前的采购需求是否合理</w:t>
            </w:r>
          </w:p>
        </w:tc>
        <w:tc>
          <w:tcPr>
            <w:tcW w:w="6108" w:type="dxa"/>
            <w:tcBorders>
              <w:tl2br w:val="nil"/>
              <w:tr2bl w:val="nil"/>
            </w:tcBorders>
          </w:tcPr>
          <w:p w14:paraId="3E382F13">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664DA8A9">
            <w:pPr>
              <w:spacing w:line="360" w:lineRule="auto"/>
              <w:jc w:val="center"/>
              <w:rPr>
                <w:rFonts w:ascii="宋体" w:hAnsi="宋体" w:eastAsia="宋体" w:cs="宋体"/>
                <w:b/>
                <w:bCs/>
                <w:sz w:val="24"/>
                <w:szCs w:val="24"/>
                <w:highlight w:val="none"/>
              </w:rPr>
            </w:pPr>
          </w:p>
        </w:tc>
      </w:tr>
      <w:tr w14:paraId="7B13C87E">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0BB68BFC">
            <w:pPr>
              <w:spacing w:line="360" w:lineRule="auto"/>
              <w:jc w:val="center"/>
              <w:rPr>
                <w:rFonts w:hint="default"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9</w:t>
            </w:r>
          </w:p>
        </w:tc>
        <w:tc>
          <w:tcPr>
            <w:tcW w:w="2850" w:type="dxa"/>
            <w:tcBorders>
              <w:tl2br w:val="nil"/>
              <w:tr2bl w:val="nil"/>
            </w:tcBorders>
          </w:tcPr>
          <w:p w14:paraId="5653297F">
            <w:pPr>
              <w:spacing w:line="360"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其他建议意见</w:t>
            </w:r>
          </w:p>
        </w:tc>
        <w:tc>
          <w:tcPr>
            <w:tcW w:w="6108" w:type="dxa"/>
            <w:tcBorders>
              <w:tl2br w:val="nil"/>
              <w:tr2bl w:val="nil"/>
            </w:tcBorders>
          </w:tcPr>
          <w:p w14:paraId="15D4C5D3">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26F869A5">
            <w:pPr>
              <w:spacing w:line="360" w:lineRule="auto"/>
              <w:jc w:val="center"/>
              <w:rPr>
                <w:rFonts w:ascii="宋体" w:hAnsi="宋体" w:eastAsia="宋体" w:cs="宋体"/>
                <w:b/>
                <w:bCs/>
                <w:sz w:val="24"/>
                <w:szCs w:val="24"/>
                <w:highlight w:val="none"/>
              </w:rPr>
            </w:pPr>
          </w:p>
        </w:tc>
      </w:tr>
      <w:tr w14:paraId="1879AE2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10536" w:type="dxa"/>
            <w:gridSpan w:val="4"/>
            <w:tcBorders>
              <w:tl2br w:val="nil"/>
              <w:tr2bl w:val="nil"/>
            </w:tcBorders>
          </w:tcPr>
          <w:p w14:paraId="1B5921FD">
            <w:pPr>
              <w:spacing w:line="360" w:lineRule="auto"/>
              <w:ind w:firstLine="5040" w:firstLineChars="2100"/>
              <w:rPr>
                <w:rFonts w:ascii="宋体" w:hAnsi="宋体" w:eastAsia="宋体" w:cs="宋体"/>
                <w:sz w:val="24"/>
                <w:szCs w:val="24"/>
                <w:highlight w:val="none"/>
              </w:rPr>
            </w:pPr>
            <w:r>
              <w:rPr>
                <w:rFonts w:hint="eastAsia" w:ascii="宋体" w:hAnsi="宋体" w:eastAsia="宋体" w:cs="宋体"/>
                <w:sz w:val="24"/>
                <w:szCs w:val="24"/>
                <w:highlight w:val="none"/>
              </w:rPr>
              <w:t>单位名称（盖章）：</w:t>
            </w:r>
          </w:p>
          <w:p w14:paraId="689FE07E">
            <w:pPr>
              <w:spacing w:line="360" w:lineRule="auto"/>
              <w:jc w:val="right"/>
              <w:rPr>
                <w:rFonts w:ascii="宋体" w:hAnsi="宋体" w:eastAsia="宋体" w:cs="宋体"/>
                <w:b/>
                <w:bCs/>
                <w:sz w:val="24"/>
                <w:szCs w:val="24"/>
                <w:highlight w:val="none"/>
              </w:rPr>
            </w:pPr>
            <w:r>
              <w:rPr>
                <w:rFonts w:hint="eastAsia" w:ascii="宋体" w:hAnsi="宋体" w:eastAsia="宋体" w:cs="宋体"/>
                <w:sz w:val="24"/>
                <w:szCs w:val="24"/>
                <w:highlight w:val="none"/>
              </w:rPr>
              <w:t>日期：     年  月  日</w:t>
            </w:r>
          </w:p>
        </w:tc>
      </w:tr>
    </w:tbl>
    <w:p w14:paraId="40A29340">
      <w:pPr>
        <w:pStyle w:val="6"/>
        <w:rPr>
          <w:rFonts w:hint="eastAsia"/>
          <w:b/>
          <w:bCs/>
          <w:sz w:val="24"/>
          <w:szCs w:val="28"/>
          <w:highlight w:val="none"/>
        </w:rPr>
      </w:pPr>
    </w:p>
    <w:p w14:paraId="4786A4A5">
      <w:pPr>
        <w:pStyle w:val="6"/>
        <w:rPr>
          <w:rFonts w:hint="default"/>
          <w:lang w:val="en-US" w:eastAsia="zh-CN"/>
        </w:rPr>
      </w:pPr>
      <w:r>
        <w:rPr>
          <w:rFonts w:hint="eastAsia"/>
          <w:b/>
          <w:bCs/>
          <w:sz w:val="24"/>
          <w:szCs w:val="28"/>
          <w:highlight w:val="none"/>
        </w:rPr>
        <w:t>注：以上表格格式并不作为强制性要求，可以根据实际内容增加表格内容或增加附件资料。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D00BE2"/>
    <w:multiLevelType w:val="singleLevel"/>
    <w:tmpl w:val="83D00BE2"/>
    <w:lvl w:ilvl="0" w:tentative="0">
      <w:start w:val="1"/>
      <w:numFmt w:val="decimal"/>
      <w:lvlText w:val="(%1)"/>
      <w:lvlJc w:val="left"/>
      <w:pPr>
        <w:ind w:left="425" w:hanging="425"/>
      </w:pPr>
      <w:rPr>
        <w:rFonts w:hint="default"/>
      </w:rPr>
    </w:lvl>
  </w:abstractNum>
  <w:abstractNum w:abstractNumId="1">
    <w:nsid w:val="8650464D"/>
    <w:multiLevelType w:val="singleLevel"/>
    <w:tmpl w:val="8650464D"/>
    <w:lvl w:ilvl="0" w:tentative="0">
      <w:start w:val="1"/>
      <w:numFmt w:val="decimal"/>
      <w:lvlText w:val="(%1)"/>
      <w:lvlJc w:val="left"/>
      <w:pPr>
        <w:ind w:left="425" w:hanging="425"/>
      </w:pPr>
      <w:rPr>
        <w:rFonts w:hint="default"/>
        <w:sz w:val="20"/>
        <w:szCs w:val="20"/>
      </w:rPr>
    </w:lvl>
  </w:abstractNum>
  <w:abstractNum w:abstractNumId="2">
    <w:nsid w:val="8C7E5253"/>
    <w:multiLevelType w:val="singleLevel"/>
    <w:tmpl w:val="8C7E5253"/>
    <w:lvl w:ilvl="0" w:tentative="0">
      <w:start w:val="1"/>
      <w:numFmt w:val="decimal"/>
      <w:lvlText w:val="(%1)"/>
      <w:lvlJc w:val="left"/>
      <w:pPr>
        <w:ind w:left="425" w:hanging="425"/>
      </w:pPr>
      <w:rPr>
        <w:rFonts w:hint="default"/>
        <w:sz w:val="20"/>
        <w:szCs w:val="20"/>
      </w:rPr>
    </w:lvl>
  </w:abstractNum>
  <w:abstractNum w:abstractNumId="3">
    <w:nsid w:val="B0709446"/>
    <w:multiLevelType w:val="singleLevel"/>
    <w:tmpl w:val="B0709446"/>
    <w:lvl w:ilvl="0" w:tentative="0">
      <w:start w:val="1"/>
      <w:numFmt w:val="decimal"/>
      <w:lvlText w:val="(%1)"/>
      <w:lvlJc w:val="left"/>
      <w:pPr>
        <w:ind w:left="425" w:hanging="425"/>
      </w:pPr>
      <w:rPr>
        <w:rFonts w:hint="default"/>
        <w:sz w:val="20"/>
        <w:szCs w:val="20"/>
      </w:rPr>
    </w:lvl>
  </w:abstractNum>
  <w:abstractNum w:abstractNumId="4">
    <w:nsid w:val="C0BF106B"/>
    <w:multiLevelType w:val="singleLevel"/>
    <w:tmpl w:val="C0BF106B"/>
    <w:lvl w:ilvl="0" w:tentative="0">
      <w:start w:val="1"/>
      <w:numFmt w:val="decimal"/>
      <w:lvlText w:val="(%1)"/>
      <w:lvlJc w:val="left"/>
      <w:pPr>
        <w:ind w:left="425" w:hanging="425"/>
      </w:pPr>
      <w:rPr>
        <w:rFonts w:hint="default"/>
        <w:sz w:val="20"/>
        <w:szCs w:val="20"/>
      </w:rPr>
    </w:lvl>
  </w:abstractNum>
  <w:abstractNum w:abstractNumId="5">
    <w:nsid w:val="CFCFE9B2"/>
    <w:multiLevelType w:val="singleLevel"/>
    <w:tmpl w:val="CFCFE9B2"/>
    <w:lvl w:ilvl="0" w:tentative="0">
      <w:start w:val="2"/>
      <w:numFmt w:val="chineseCounting"/>
      <w:suff w:val="nothing"/>
      <w:lvlText w:val="%1、"/>
      <w:lvlJc w:val="left"/>
      <w:rPr>
        <w:rFonts w:hint="eastAsia"/>
      </w:rPr>
    </w:lvl>
  </w:abstractNum>
  <w:abstractNum w:abstractNumId="6">
    <w:nsid w:val="F37D8EAC"/>
    <w:multiLevelType w:val="singleLevel"/>
    <w:tmpl w:val="F37D8EAC"/>
    <w:lvl w:ilvl="0" w:tentative="0">
      <w:start w:val="1"/>
      <w:numFmt w:val="decimal"/>
      <w:lvlText w:val="(%1)"/>
      <w:lvlJc w:val="left"/>
      <w:pPr>
        <w:ind w:left="425" w:hanging="425"/>
      </w:pPr>
      <w:rPr>
        <w:rFonts w:hint="default"/>
      </w:rPr>
    </w:lvl>
  </w:abstractNum>
  <w:abstractNum w:abstractNumId="7">
    <w:nsid w:val="FC355760"/>
    <w:multiLevelType w:val="singleLevel"/>
    <w:tmpl w:val="FC355760"/>
    <w:lvl w:ilvl="0" w:tentative="0">
      <w:start w:val="1"/>
      <w:numFmt w:val="decimal"/>
      <w:lvlText w:val="(%1)"/>
      <w:lvlJc w:val="left"/>
      <w:pPr>
        <w:ind w:left="425" w:hanging="425"/>
      </w:pPr>
      <w:rPr>
        <w:rFonts w:hint="default"/>
      </w:rPr>
    </w:lvl>
  </w:abstractNum>
  <w:abstractNum w:abstractNumId="8">
    <w:nsid w:val="0A399749"/>
    <w:multiLevelType w:val="singleLevel"/>
    <w:tmpl w:val="0A399749"/>
    <w:lvl w:ilvl="0" w:tentative="0">
      <w:start w:val="1"/>
      <w:numFmt w:val="decimal"/>
      <w:suff w:val="nothing"/>
      <w:lvlText w:val="%1、"/>
      <w:lvlJc w:val="left"/>
    </w:lvl>
  </w:abstractNum>
  <w:abstractNum w:abstractNumId="9">
    <w:nsid w:val="142ED898"/>
    <w:multiLevelType w:val="singleLevel"/>
    <w:tmpl w:val="142ED898"/>
    <w:lvl w:ilvl="0" w:tentative="0">
      <w:start w:val="1"/>
      <w:numFmt w:val="decimal"/>
      <w:lvlText w:val="(%1)"/>
      <w:lvlJc w:val="left"/>
      <w:pPr>
        <w:ind w:left="425" w:hanging="425"/>
      </w:pPr>
      <w:rPr>
        <w:rFonts w:hint="default"/>
        <w:sz w:val="20"/>
        <w:szCs w:val="20"/>
      </w:rPr>
    </w:lvl>
  </w:abstractNum>
  <w:abstractNum w:abstractNumId="10">
    <w:nsid w:val="2B73968A"/>
    <w:multiLevelType w:val="singleLevel"/>
    <w:tmpl w:val="2B73968A"/>
    <w:lvl w:ilvl="0" w:tentative="0">
      <w:start w:val="1"/>
      <w:numFmt w:val="decimal"/>
      <w:lvlText w:val="(%1)"/>
      <w:lvlJc w:val="left"/>
      <w:pPr>
        <w:ind w:left="425" w:hanging="425"/>
      </w:pPr>
      <w:rPr>
        <w:rFonts w:hint="default"/>
        <w:sz w:val="20"/>
        <w:szCs w:val="20"/>
      </w:rPr>
    </w:lvl>
  </w:abstractNum>
  <w:abstractNum w:abstractNumId="11">
    <w:nsid w:val="3010DE1A"/>
    <w:multiLevelType w:val="singleLevel"/>
    <w:tmpl w:val="3010DE1A"/>
    <w:lvl w:ilvl="0" w:tentative="0">
      <w:start w:val="1"/>
      <w:numFmt w:val="decimal"/>
      <w:lvlText w:val="(%1)"/>
      <w:lvlJc w:val="left"/>
      <w:pPr>
        <w:ind w:left="425" w:hanging="425"/>
      </w:pPr>
      <w:rPr>
        <w:rFonts w:hint="default"/>
        <w:sz w:val="20"/>
        <w:szCs w:val="20"/>
      </w:rPr>
    </w:lvl>
  </w:abstractNum>
  <w:abstractNum w:abstractNumId="12">
    <w:nsid w:val="30F79861"/>
    <w:multiLevelType w:val="singleLevel"/>
    <w:tmpl w:val="30F79861"/>
    <w:lvl w:ilvl="0" w:tentative="0">
      <w:start w:val="1"/>
      <w:numFmt w:val="decimal"/>
      <w:lvlText w:val="(%1)"/>
      <w:lvlJc w:val="left"/>
      <w:pPr>
        <w:ind w:left="425" w:hanging="425"/>
      </w:pPr>
      <w:rPr>
        <w:rFonts w:hint="default"/>
        <w:sz w:val="20"/>
        <w:szCs w:val="20"/>
      </w:rPr>
    </w:lvl>
  </w:abstractNum>
  <w:abstractNum w:abstractNumId="13">
    <w:nsid w:val="3D1057BF"/>
    <w:multiLevelType w:val="singleLevel"/>
    <w:tmpl w:val="3D1057BF"/>
    <w:lvl w:ilvl="0" w:tentative="0">
      <w:start w:val="1"/>
      <w:numFmt w:val="decimal"/>
      <w:lvlText w:val="(%1)"/>
      <w:lvlJc w:val="left"/>
      <w:pPr>
        <w:ind w:left="425" w:hanging="425"/>
      </w:pPr>
      <w:rPr>
        <w:rFonts w:hint="default"/>
      </w:rPr>
    </w:lvl>
  </w:abstractNum>
  <w:abstractNum w:abstractNumId="14">
    <w:nsid w:val="45AFE920"/>
    <w:multiLevelType w:val="singleLevel"/>
    <w:tmpl w:val="45AFE920"/>
    <w:lvl w:ilvl="0" w:tentative="0">
      <w:start w:val="1"/>
      <w:numFmt w:val="decimal"/>
      <w:lvlText w:val="(%1)"/>
      <w:lvlJc w:val="left"/>
      <w:pPr>
        <w:ind w:left="425" w:hanging="425"/>
      </w:pPr>
      <w:rPr>
        <w:rFonts w:hint="default"/>
        <w:sz w:val="20"/>
        <w:szCs w:val="20"/>
      </w:rPr>
    </w:lvl>
  </w:abstractNum>
  <w:abstractNum w:abstractNumId="15">
    <w:nsid w:val="50E4E429"/>
    <w:multiLevelType w:val="singleLevel"/>
    <w:tmpl w:val="50E4E429"/>
    <w:lvl w:ilvl="0" w:tentative="0">
      <w:start w:val="1"/>
      <w:numFmt w:val="decimal"/>
      <w:suff w:val="nothing"/>
      <w:lvlText w:val="%1、"/>
      <w:lvlJc w:val="left"/>
    </w:lvl>
  </w:abstractNum>
  <w:abstractNum w:abstractNumId="16">
    <w:nsid w:val="554450CD"/>
    <w:multiLevelType w:val="singleLevel"/>
    <w:tmpl w:val="554450CD"/>
    <w:lvl w:ilvl="0" w:tentative="0">
      <w:start w:val="1"/>
      <w:numFmt w:val="decimal"/>
      <w:lvlText w:val="(%1)"/>
      <w:lvlJc w:val="left"/>
      <w:pPr>
        <w:ind w:left="425" w:hanging="425"/>
      </w:pPr>
      <w:rPr>
        <w:rFonts w:hint="default"/>
        <w:sz w:val="20"/>
        <w:szCs w:val="20"/>
      </w:rPr>
    </w:lvl>
  </w:abstractNum>
  <w:abstractNum w:abstractNumId="17">
    <w:nsid w:val="57088B57"/>
    <w:multiLevelType w:val="singleLevel"/>
    <w:tmpl w:val="57088B57"/>
    <w:lvl w:ilvl="0" w:tentative="0">
      <w:start w:val="1"/>
      <w:numFmt w:val="decimal"/>
      <w:lvlText w:val="(%1)"/>
      <w:lvlJc w:val="left"/>
      <w:pPr>
        <w:ind w:left="425" w:hanging="425"/>
      </w:pPr>
      <w:rPr>
        <w:rFonts w:hint="default"/>
        <w:sz w:val="20"/>
        <w:szCs w:val="20"/>
      </w:rPr>
    </w:lvl>
  </w:abstractNum>
  <w:abstractNum w:abstractNumId="18">
    <w:nsid w:val="5A0C4910"/>
    <w:multiLevelType w:val="singleLevel"/>
    <w:tmpl w:val="5A0C4910"/>
    <w:lvl w:ilvl="0" w:tentative="0">
      <w:start w:val="1"/>
      <w:numFmt w:val="decimal"/>
      <w:suff w:val="nothing"/>
      <w:lvlText w:val="%1、"/>
      <w:lvlJc w:val="left"/>
    </w:lvl>
  </w:abstractNum>
  <w:abstractNum w:abstractNumId="19">
    <w:nsid w:val="686F5946"/>
    <w:multiLevelType w:val="singleLevel"/>
    <w:tmpl w:val="686F5946"/>
    <w:lvl w:ilvl="0" w:tentative="0">
      <w:start w:val="1"/>
      <w:numFmt w:val="decimal"/>
      <w:lvlText w:val="(%1)"/>
      <w:lvlJc w:val="left"/>
      <w:pPr>
        <w:ind w:left="425" w:hanging="425"/>
      </w:pPr>
      <w:rPr>
        <w:rFonts w:hint="default"/>
        <w:sz w:val="20"/>
        <w:szCs w:val="20"/>
      </w:rPr>
    </w:lvl>
  </w:abstractNum>
  <w:abstractNum w:abstractNumId="20">
    <w:nsid w:val="6DA50603"/>
    <w:multiLevelType w:val="singleLevel"/>
    <w:tmpl w:val="6DA50603"/>
    <w:lvl w:ilvl="0" w:tentative="0">
      <w:start w:val="1"/>
      <w:numFmt w:val="decimal"/>
      <w:lvlText w:val="(%1)"/>
      <w:lvlJc w:val="left"/>
      <w:pPr>
        <w:ind w:left="425" w:hanging="425"/>
      </w:pPr>
      <w:rPr>
        <w:rFonts w:hint="default"/>
      </w:rPr>
    </w:lvl>
  </w:abstractNum>
  <w:abstractNum w:abstractNumId="21">
    <w:nsid w:val="72BE1FBD"/>
    <w:multiLevelType w:val="singleLevel"/>
    <w:tmpl w:val="72BE1FBD"/>
    <w:lvl w:ilvl="0" w:tentative="0">
      <w:start w:val="1"/>
      <w:numFmt w:val="decimal"/>
      <w:lvlText w:val="(%1)"/>
      <w:lvlJc w:val="left"/>
      <w:pPr>
        <w:ind w:left="425" w:hanging="425"/>
      </w:pPr>
      <w:rPr>
        <w:rFonts w:hint="default"/>
        <w:sz w:val="20"/>
        <w:szCs w:val="20"/>
      </w:rPr>
    </w:lvl>
  </w:abstractNum>
  <w:abstractNum w:abstractNumId="22">
    <w:nsid w:val="78B31C37"/>
    <w:multiLevelType w:val="singleLevel"/>
    <w:tmpl w:val="78B31C37"/>
    <w:lvl w:ilvl="0" w:tentative="0">
      <w:start w:val="1"/>
      <w:numFmt w:val="decimal"/>
      <w:lvlText w:val="(%1)"/>
      <w:lvlJc w:val="left"/>
      <w:pPr>
        <w:ind w:left="425" w:hanging="425"/>
      </w:pPr>
      <w:rPr>
        <w:rFonts w:hint="default"/>
        <w:sz w:val="20"/>
        <w:szCs w:val="20"/>
      </w:rPr>
    </w:lvl>
  </w:abstractNum>
  <w:num w:numId="1">
    <w:abstractNumId w:val="5"/>
  </w:num>
  <w:num w:numId="2">
    <w:abstractNumId w:val="18"/>
  </w:num>
  <w:num w:numId="3">
    <w:abstractNumId w:val="6"/>
  </w:num>
  <w:num w:numId="4">
    <w:abstractNumId w:val="0"/>
  </w:num>
  <w:num w:numId="5">
    <w:abstractNumId w:val="7"/>
  </w:num>
  <w:num w:numId="6">
    <w:abstractNumId w:val="13"/>
  </w:num>
  <w:num w:numId="7">
    <w:abstractNumId w:val="20"/>
  </w:num>
  <w:num w:numId="8">
    <w:abstractNumId w:val="11"/>
  </w:num>
  <w:num w:numId="9">
    <w:abstractNumId w:val="19"/>
  </w:num>
  <w:num w:numId="10">
    <w:abstractNumId w:val="9"/>
  </w:num>
  <w:num w:numId="11">
    <w:abstractNumId w:val="17"/>
  </w:num>
  <w:num w:numId="12">
    <w:abstractNumId w:val="4"/>
  </w:num>
  <w:num w:numId="13">
    <w:abstractNumId w:val="22"/>
  </w:num>
  <w:num w:numId="14">
    <w:abstractNumId w:val="8"/>
  </w:num>
  <w:num w:numId="15">
    <w:abstractNumId w:val="2"/>
  </w:num>
  <w:num w:numId="16">
    <w:abstractNumId w:val="21"/>
  </w:num>
  <w:num w:numId="17">
    <w:abstractNumId w:val="14"/>
  </w:num>
  <w:num w:numId="18">
    <w:abstractNumId w:val="12"/>
  </w:num>
  <w:num w:numId="19">
    <w:abstractNumId w:val="15"/>
  </w:num>
  <w:num w:numId="20">
    <w:abstractNumId w:val="1"/>
  </w:num>
  <w:num w:numId="21">
    <w:abstractNumId w:val="10"/>
  </w:num>
  <w:num w:numId="22">
    <w:abstractNumId w:val="16"/>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zZGNkOTE3ZjFhMWU1NjM3MzA1YjNhNjdlZWVmYjQifQ=="/>
  </w:docVars>
  <w:rsids>
    <w:rsidRoot w:val="00000000"/>
    <w:rsid w:val="0D6D3E2C"/>
    <w:rsid w:val="1697321E"/>
    <w:rsid w:val="16A729B8"/>
    <w:rsid w:val="19287FE7"/>
    <w:rsid w:val="1A8B2040"/>
    <w:rsid w:val="2CF85B24"/>
    <w:rsid w:val="2DCB66B1"/>
    <w:rsid w:val="2F2F0715"/>
    <w:rsid w:val="30287CFB"/>
    <w:rsid w:val="316A19D4"/>
    <w:rsid w:val="389A1AC0"/>
    <w:rsid w:val="3C4A609C"/>
    <w:rsid w:val="40D97773"/>
    <w:rsid w:val="4A83494B"/>
    <w:rsid w:val="4C70761C"/>
    <w:rsid w:val="53933379"/>
    <w:rsid w:val="5CE35A0A"/>
    <w:rsid w:val="681553FE"/>
    <w:rsid w:val="6A74390D"/>
    <w:rsid w:val="6AA10799"/>
    <w:rsid w:val="6E9431F9"/>
    <w:rsid w:val="701A731C"/>
    <w:rsid w:val="788F0C77"/>
    <w:rsid w:val="7C786C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